
<file path=[Content_Types].xml><?xml version="1.0" encoding="utf-8"?>
<Types xmlns="http://schemas.openxmlformats.org/package/2006/content-types">
  <Default Extension="pn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046"/>
        <w:gridCol w:w="5046"/>
      </w:tblGrid>
      <w:tr w:rsidR="0003172C" w14:paraId="494E6C2B" w14:textId="77777777">
        <w:tc>
          <w:tcPr>
            <w:tcW w:w="5046" w:type="dxa"/>
          </w:tcPr>
          <w:p w14:paraId="6B3CC9DA" w14:textId="77777777" w:rsidR="0003172C" w:rsidRDefault="00000000">
            <w:r>
              <w:rPr>
                <w:noProof/>
              </w:rPr>
              <w:drawing>
                <wp:inline distT="0" distB="0" distL="0" distR="0" wp14:anchorId="49D2D382" wp14:editId="38090788">
                  <wp:extent cx="1512000" cy="1039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rest-logo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0" cy="103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6" w:type="dxa"/>
          </w:tcPr>
          <w:p w14:paraId="16189D12" w14:textId="77777777" w:rsidR="0003172C" w:rsidRDefault="00000000">
            <w:pPr>
              <w:spacing w:before="40" w:after="40"/>
              <w:jc w:val="right"/>
            </w:pPr>
            <w:r>
              <w:rPr>
                <w:rFonts w:ascii="Calibri" w:eastAsia="Calibri" w:hAnsi="Calibri"/>
                <w:b/>
                <w:color w:val="C4161C"/>
                <w:sz w:val="18"/>
              </w:rPr>
              <w:t>AI FOR ACCOUNTING AND ERP</w:t>
            </w:r>
            <w:r>
              <w:br/>
            </w:r>
            <w:r>
              <w:rPr>
                <w:rFonts w:ascii="Calibri" w:eastAsia="Calibri" w:hAnsi="Calibri"/>
                <w:color w:val="5A5A5A"/>
                <w:sz w:val="18"/>
              </w:rPr>
              <w:t>Microsoft Azure workflow</w:t>
            </w:r>
          </w:p>
        </w:tc>
      </w:tr>
    </w:tbl>
    <w:p w14:paraId="6098830A" w14:textId="77777777" w:rsidR="0003172C" w:rsidRDefault="0003172C">
      <w:pPr>
        <w:pBdr>
          <w:bottom w:val="single" w:sz="18" w:space="1" w:color="C4161C"/>
        </w:pBdr>
        <w:spacing w:after="160" w:line="240" w:lineRule="auto"/>
      </w:pPr>
    </w:p>
    <w:p w14:paraId="55E7F32B" w14:textId="39C1ED50" w:rsidR="0003172C" w:rsidRDefault="00000000">
      <w:pPr>
        <w:spacing w:after="120" w:line="240" w:lineRule="auto"/>
      </w:pPr>
      <w:r>
        <w:rPr>
          <w:rFonts w:ascii="Calibri" w:eastAsia="Calibri" w:hAnsi="Calibri"/>
          <w:b/>
          <w:color w:val="2C2C2C"/>
          <w:sz w:val="44"/>
        </w:rPr>
        <w:t>Copilot</w:t>
      </w:r>
      <w:r w:rsidR="00076AE1">
        <w:rPr>
          <w:rFonts w:ascii="Calibri" w:eastAsia="Calibri" w:hAnsi="Calibri"/>
          <w:b/>
          <w:color w:val="2C2C2C"/>
          <w:sz w:val="44"/>
        </w:rPr>
        <w:t xml:space="preserve"> AI</w:t>
      </w:r>
      <w:r>
        <w:rPr>
          <w:rFonts w:ascii="Calibri" w:eastAsia="Calibri" w:hAnsi="Calibri"/>
          <w:b/>
          <w:color w:val="2C2C2C"/>
          <w:sz w:val="44"/>
        </w:rPr>
        <w:t xml:space="preserve"> that can see your books.</w:t>
      </w:r>
    </w:p>
    <w:p w14:paraId="3E689EF9" w14:textId="77777777" w:rsidR="0003172C" w:rsidRDefault="00000000">
      <w:pPr>
        <w:spacing w:after="80" w:line="240" w:lineRule="auto"/>
      </w:pPr>
      <w:r>
        <w:rPr>
          <w:rFonts w:ascii="Calibri" w:eastAsia="Calibri" w:hAnsi="Calibri"/>
          <w:color w:val="5A5A5A"/>
        </w:rPr>
        <w:t>Connect SQL Accounting to Microsoft Copilot. CFOs and Project Directors ask cash, cost, and voucher questions in plain language — from the live ledger, not last week’s export.</w:t>
      </w:r>
    </w:p>
    <w:p w14:paraId="4EA794F1" w14:textId="77777777" w:rsidR="0003172C" w:rsidRDefault="00000000">
      <w:pPr>
        <w:spacing w:before="80" w:after="160" w:line="240" w:lineRule="auto"/>
      </w:pPr>
      <w:r>
        <w:rPr>
          <w:rFonts w:ascii="Calibri" w:eastAsia="Calibri" w:hAnsi="Calibri"/>
          <w:color w:val="5A5A5A"/>
          <w:sz w:val="18"/>
        </w:rPr>
        <w:t xml:space="preserve">  SQL Accounting    Microsoft Copilot Premium    Azure SQL    Copilot Studio    Our Client  </w:t>
      </w:r>
    </w:p>
    <w:p w14:paraId="0E09BD44" w14:textId="77777777" w:rsidR="0003172C" w:rsidRDefault="00000000">
      <w:pPr>
        <w:pBdr>
          <w:bottom w:val="single" w:sz="12" w:space="4" w:color="C4161C"/>
        </w:pBdr>
        <w:spacing w:before="240" w:after="120"/>
      </w:pPr>
      <w:r>
        <w:rPr>
          <w:rFonts w:ascii="Calibri" w:eastAsia="Calibri" w:hAnsi="Calibri"/>
          <w:b/>
          <w:color w:val="C4161C"/>
          <w:sz w:val="20"/>
        </w:rPr>
        <w:t>HOW DATA REACHES COPILOT</w:t>
      </w:r>
    </w:p>
    <w:tbl>
      <w:tblPr>
        <w:tblW w:w="0" w:type="auto"/>
        <w:jc w:val="center"/>
        <w:tblBorders>
          <w:top w:val="single" w:sz="4" w:space="0" w:color="DCDCDC"/>
          <w:left w:val="single" w:sz="4" w:space="0" w:color="DCDCDC"/>
          <w:bottom w:val="single" w:sz="4" w:space="0" w:color="DCDCDC"/>
          <w:right w:val="single" w:sz="4" w:space="0" w:color="DCDCDC"/>
          <w:insideH w:val="single" w:sz="4" w:space="0" w:color="DCDCDC"/>
          <w:insideV w:val="single" w:sz="4" w:space="0" w:color="DCDCDC"/>
        </w:tblBorders>
        <w:tblLook w:val="04A0" w:firstRow="1" w:lastRow="0" w:firstColumn="1" w:lastColumn="0" w:noHBand="0" w:noVBand="1"/>
      </w:tblPr>
      <w:tblGrid>
        <w:gridCol w:w="1682"/>
        <w:gridCol w:w="1682"/>
        <w:gridCol w:w="1682"/>
        <w:gridCol w:w="1682"/>
        <w:gridCol w:w="1682"/>
        <w:gridCol w:w="1682"/>
      </w:tblGrid>
      <w:tr w:rsidR="0003172C" w14:paraId="0C184BB1" w14:textId="77777777">
        <w:trPr>
          <w:jc w:val="center"/>
        </w:trPr>
        <w:tc>
          <w:tcPr>
            <w:tcW w:w="1682" w:type="dxa"/>
            <w:tcBorders>
              <w:top w:val="single" w:sz="8" w:space="0" w:color="C4161C"/>
              <w:left w:val="single" w:sz="8" w:space="0" w:color="DCDCDC"/>
              <w:bottom w:val="single" w:sz="8" w:space="0" w:color="DCDCDC"/>
              <w:right w:val="single" w:sz="8" w:space="0" w:color="DCDCDC"/>
            </w:tcBorders>
          </w:tcPr>
          <w:p w14:paraId="26AE99C5" w14:textId="77777777" w:rsidR="0003172C" w:rsidRDefault="00000000">
            <w:pPr>
              <w:spacing w:before="40" w:after="40"/>
            </w:pPr>
            <w:r>
              <w:rPr>
                <w:rFonts w:ascii="Calibri" w:eastAsia="Calibri" w:hAnsi="Calibri"/>
                <w:b/>
                <w:color w:val="C4161C"/>
                <w:sz w:val="16"/>
              </w:rPr>
              <w:t>01</w:t>
            </w:r>
            <w:r>
              <w:br/>
            </w:r>
            <w:r>
              <w:rPr>
                <w:rFonts w:ascii="Calibri" w:eastAsia="Calibri" w:hAnsi="Calibri"/>
                <w:b/>
                <w:color w:val="2C2C2C"/>
                <w:sz w:val="20"/>
              </w:rPr>
              <w:t>SQL Accounting</w:t>
            </w:r>
            <w:r>
              <w:br/>
            </w:r>
            <w:r>
              <w:rPr>
                <w:rFonts w:ascii="Calibri" w:eastAsia="Calibri" w:hAnsi="Calibri"/>
                <w:color w:val="5A5A5A"/>
                <w:sz w:val="16"/>
              </w:rPr>
              <w:t>Journals, payment and receipt vouchers stay in the ledger.</w:t>
            </w:r>
          </w:p>
        </w:tc>
        <w:tc>
          <w:tcPr>
            <w:tcW w:w="1682" w:type="dxa"/>
            <w:tcBorders>
              <w:top w:val="single" w:sz="8" w:space="0" w:color="C4161C"/>
              <w:left w:val="single" w:sz="8" w:space="0" w:color="DCDCDC"/>
              <w:bottom w:val="single" w:sz="8" w:space="0" w:color="DCDCDC"/>
              <w:right w:val="single" w:sz="8" w:space="0" w:color="DCDCDC"/>
            </w:tcBorders>
          </w:tcPr>
          <w:p w14:paraId="134DD9A9" w14:textId="77777777" w:rsidR="0003172C" w:rsidRDefault="00000000">
            <w:pPr>
              <w:spacing w:before="40" w:after="40"/>
            </w:pPr>
            <w:r>
              <w:rPr>
                <w:rFonts w:ascii="Calibri" w:eastAsia="Calibri" w:hAnsi="Calibri"/>
                <w:b/>
                <w:color w:val="C4161C"/>
                <w:sz w:val="16"/>
              </w:rPr>
              <w:t>02</w:t>
            </w:r>
            <w:r>
              <w:br/>
            </w:r>
            <w:r>
              <w:rPr>
                <w:rFonts w:ascii="Calibri" w:eastAsia="Calibri" w:hAnsi="Calibri"/>
                <w:b/>
                <w:color w:val="2C2C2C"/>
                <w:sz w:val="20"/>
              </w:rPr>
              <w:t>Signing proxy</w:t>
            </w:r>
            <w:r>
              <w:br/>
            </w:r>
            <w:r>
              <w:rPr>
                <w:rFonts w:ascii="Calibri" w:eastAsia="Calibri" w:hAnsi="Calibri"/>
                <w:color w:val="5A5A5A"/>
                <w:sz w:val="16"/>
              </w:rPr>
              <w:t>API keys stay off the desktop. SigV4 signs every request.</w:t>
            </w:r>
          </w:p>
        </w:tc>
        <w:tc>
          <w:tcPr>
            <w:tcW w:w="1682" w:type="dxa"/>
            <w:tcBorders>
              <w:top w:val="single" w:sz="8" w:space="0" w:color="C4161C"/>
              <w:left w:val="single" w:sz="8" w:space="0" w:color="DCDCDC"/>
              <w:bottom w:val="single" w:sz="8" w:space="0" w:color="DCDCDC"/>
              <w:right w:val="single" w:sz="8" w:space="0" w:color="DCDCDC"/>
            </w:tcBorders>
          </w:tcPr>
          <w:p w14:paraId="2CA3D9A0" w14:textId="77777777" w:rsidR="0003172C" w:rsidRDefault="00000000">
            <w:pPr>
              <w:spacing w:before="40" w:after="40"/>
            </w:pPr>
            <w:r>
              <w:rPr>
                <w:rFonts w:ascii="Calibri" w:eastAsia="Calibri" w:hAnsi="Calibri"/>
                <w:b/>
                <w:color w:val="C4161C"/>
                <w:sz w:val="16"/>
              </w:rPr>
              <w:t>03</w:t>
            </w:r>
            <w:r>
              <w:br/>
            </w:r>
            <w:r>
              <w:rPr>
                <w:rFonts w:ascii="Calibri" w:eastAsia="Calibri" w:hAnsi="Calibri"/>
                <w:b/>
                <w:color w:val="2C2C2C"/>
                <w:sz w:val="20"/>
              </w:rPr>
              <w:t>Data Factory</w:t>
            </w:r>
            <w:r>
              <w:br/>
            </w:r>
            <w:r>
              <w:rPr>
                <w:rFonts w:ascii="Calibri" w:eastAsia="Calibri" w:hAnsi="Calibri"/>
                <w:color w:val="5A5A5A"/>
                <w:sz w:val="16"/>
              </w:rPr>
              <w:t>Scheduled sync into Azure. No manual export.</w:t>
            </w:r>
          </w:p>
        </w:tc>
        <w:tc>
          <w:tcPr>
            <w:tcW w:w="1682" w:type="dxa"/>
            <w:tcBorders>
              <w:top w:val="single" w:sz="8" w:space="0" w:color="C4161C"/>
              <w:left w:val="single" w:sz="8" w:space="0" w:color="DCDCDC"/>
              <w:bottom w:val="single" w:sz="8" w:space="0" w:color="DCDCDC"/>
              <w:right w:val="single" w:sz="8" w:space="0" w:color="DCDCDC"/>
            </w:tcBorders>
          </w:tcPr>
          <w:p w14:paraId="24E08F91" w14:textId="77777777" w:rsidR="0003172C" w:rsidRDefault="00000000">
            <w:pPr>
              <w:spacing w:before="40" w:after="40"/>
            </w:pPr>
            <w:r>
              <w:rPr>
                <w:rFonts w:ascii="Calibri" w:eastAsia="Calibri" w:hAnsi="Calibri"/>
                <w:b/>
                <w:color w:val="C4161C"/>
                <w:sz w:val="16"/>
              </w:rPr>
              <w:t>04</w:t>
            </w:r>
            <w:r>
              <w:br/>
            </w:r>
            <w:r>
              <w:rPr>
                <w:rFonts w:ascii="Calibri" w:eastAsia="Calibri" w:hAnsi="Calibri"/>
                <w:b/>
                <w:color w:val="2C2C2C"/>
                <w:sz w:val="20"/>
              </w:rPr>
              <w:t>Azure SQL</w:t>
            </w:r>
            <w:r>
              <w:br/>
            </w:r>
            <w:r>
              <w:rPr>
                <w:rFonts w:ascii="Calibri" w:eastAsia="Calibri" w:hAnsi="Calibri"/>
                <w:color w:val="5A5A5A"/>
                <w:sz w:val="16"/>
              </w:rPr>
              <w:t>Governed replica Copilot is allowed to read.</w:t>
            </w:r>
          </w:p>
        </w:tc>
        <w:tc>
          <w:tcPr>
            <w:tcW w:w="1682" w:type="dxa"/>
            <w:tcBorders>
              <w:top w:val="single" w:sz="8" w:space="0" w:color="C4161C"/>
              <w:left w:val="single" w:sz="8" w:space="0" w:color="DCDCDC"/>
              <w:bottom w:val="single" w:sz="8" w:space="0" w:color="DCDCDC"/>
              <w:right w:val="single" w:sz="8" w:space="0" w:color="DCDCDC"/>
            </w:tcBorders>
          </w:tcPr>
          <w:p w14:paraId="55F0693E" w14:textId="77777777" w:rsidR="0003172C" w:rsidRDefault="00000000">
            <w:pPr>
              <w:spacing w:before="40" w:after="40"/>
            </w:pPr>
            <w:r>
              <w:rPr>
                <w:rFonts w:ascii="Calibri" w:eastAsia="Calibri" w:hAnsi="Calibri"/>
                <w:b/>
                <w:color w:val="C4161C"/>
                <w:sz w:val="16"/>
              </w:rPr>
              <w:t>05</w:t>
            </w:r>
            <w:r>
              <w:br/>
            </w:r>
            <w:r>
              <w:rPr>
                <w:rFonts w:ascii="Calibri" w:eastAsia="Calibri" w:hAnsi="Calibri"/>
                <w:b/>
                <w:color w:val="2C2C2C"/>
                <w:sz w:val="20"/>
              </w:rPr>
              <w:t>Copilot Studio</w:t>
            </w:r>
            <w:r>
              <w:br/>
            </w:r>
            <w:r>
              <w:rPr>
                <w:rFonts w:ascii="Calibri" w:eastAsia="Calibri" w:hAnsi="Calibri"/>
                <w:color w:val="5A5A5A"/>
                <w:sz w:val="16"/>
              </w:rPr>
              <w:t>Natural language over that data, in Microsoft 365.</w:t>
            </w:r>
          </w:p>
        </w:tc>
        <w:tc>
          <w:tcPr>
            <w:tcW w:w="1682" w:type="dxa"/>
            <w:tcBorders>
              <w:top w:val="single" w:sz="8" w:space="0" w:color="C4161C"/>
              <w:left w:val="single" w:sz="8" w:space="0" w:color="DCDCDC"/>
              <w:bottom w:val="single" w:sz="8" w:space="0" w:color="DCDCDC"/>
              <w:right w:val="single" w:sz="8" w:space="0" w:color="DCDCDC"/>
            </w:tcBorders>
          </w:tcPr>
          <w:p w14:paraId="030258E0" w14:textId="77777777" w:rsidR="0003172C" w:rsidRDefault="00000000">
            <w:pPr>
              <w:spacing w:before="40" w:after="40"/>
            </w:pPr>
            <w:r>
              <w:rPr>
                <w:rFonts w:ascii="Calibri" w:eastAsia="Calibri" w:hAnsi="Calibri"/>
                <w:b/>
                <w:color w:val="C4161C"/>
                <w:sz w:val="16"/>
              </w:rPr>
              <w:t>06</w:t>
            </w:r>
            <w:r>
              <w:br/>
            </w:r>
            <w:r>
              <w:rPr>
                <w:rFonts w:ascii="Calibri" w:eastAsia="Calibri" w:hAnsi="Calibri"/>
                <w:b/>
                <w:color w:val="2C2C2C"/>
                <w:sz w:val="20"/>
              </w:rPr>
              <w:t>CFO / Director</w:t>
            </w:r>
            <w:r>
              <w:br/>
            </w:r>
            <w:r>
              <w:rPr>
                <w:rFonts w:ascii="Calibri" w:eastAsia="Calibri" w:hAnsi="Calibri"/>
                <w:color w:val="5A5A5A"/>
                <w:sz w:val="16"/>
              </w:rPr>
              <w:t>Decision-ready answers without opening the ERP.</w:t>
            </w:r>
          </w:p>
        </w:tc>
      </w:tr>
    </w:tbl>
    <w:p w14:paraId="1B1C6F44" w14:textId="77777777" w:rsidR="0003172C" w:rsidRDefault="00000000">
      <w:pPr>
        <w:pBdr>
          <w:bottom w:val="single" w:sz="12" w:space="4" w:color="C4161C"/>
        </w:pBdr>
        <w:spacing w:before="240" w:after="120"/>
      </w:pPr>
      <w:r>
        <w:rPr>
          <w:rFonts w:ascii="Calibri" w:eastAsia="Calibri" w:hAnsi="Calibri"/>
          <w:b/>
          <w:color w:val="C4161C"/>
          <w:sz w:val="20"/>
        </w:rPr>
        <w:t>THE OFFER</w:t>
      </w:r>
    </w:p>
    <w:tbl>
      <w:tblPr>
        <w:tblW w:w="0" w:type="auto"/>
        <w:tblBorders>
          <w:top w:val="single" w:sz="4" w:space="0" w:color="DCDCDC"/>
          <w:left w:val="single" w:sz="4" w:space="0" w:color="DCDCDC"/>
          <w:bottom w:val="single" w:sz="4" w:space="0" w:color="DCDCDC"/>
          <w:right w:val="single" w:sz="4" w:space="0" w:color="DCDCDC"/>
          <w:insideH w:val="single" w:sz="4" w:space="0" w:color="DCDCDC"/>
          <w:insideV w:val="single" w:sz="4" w:space="0" w:color="DCDCDC"/>
        </w:tblBorders>
        <w:tblLook w:val="04A0" w:firstRow="1" w:lastRow="0" w:firstColumn="1" w:lastColumn="0" w:noHBand="0" w:noVBand="1"/>
      </w:tblPr>
      <w:tblGrid>
        <w:gridCol w:w="5046"/>
        <w:gridCol w:w="5046"/>
      </w:tblGrid>
      <w:tr w:rsidR="0003172C" w14:paraId="09E8D0EC" w14:textId="77777777">
        <w:tc>
          <w:tcPr>
            <w:tcW w:w="5046" w:type="dxa"/>
          </w:tcPr>
          <w:p w14:paraId="2CE54362" w14:textId="77777777" w:rsidR="0003172C" w:rsidRDefault="00000000">
            <w:pPr>
              <w:spacing w:before="40" w:after="40"/>
            </w:pPr>
            <w:r>
              <w:rPr>
                <w:rFonts w:ascii="Calibri" w:eastAsia="Calibri" w:hAnsi="Calibri"/>
                <w:b/>
                <w:color w:val="2C2C2C"/>
                <w:sz w:val="24"/>
              </w:rPr>
              <w:t>Copilot Agents for Our Client</w:t>
            </w:r>
            <w:r>
              <w:br/>
            </w:r>
            <w:r>
              <w:rPr>
                <w:rFonts w:ascii="Calibri" w:eastAsia="Calibri" w:hAnsi="Calibri"/>
                <w:color w:val="5A5A5A"/>
                <w:sz w:val="20"/>
              </w:rPr>
              <w:t>Premium Microsoft Copilot, connected to SQL Accounting for finance and project leadership.</w:t>
            </w:r>
          </w:p>
        </w:tc>
        <w:tc>
          <w:tcPr>
            <w:tcW w:w="5046" w:type="dxa"/>
          </w:tcPr>
          <w:p w14:paraId="7256E053" w14:textId="77777777" w:rsidR="0003172C" w:rsidRDefault="00000000">
            <w:pPr>
              <w:spacing w:before="40" w:after="40"/>
            </w:pPr>
            <w:r>
              <w:rPr>
                <w:rFonts w:ascii="Calibri" w:eastAsia="Calibri" w:hAnsi="Calibri"/>
                <w:b/>
                <w:color w:val="2C2C2C"/>
                <w:sz w:val="24"/>
              </w:rPr>
              <w:t>Repeatable for ERP buyers</w:t>
            </w:r>
            <w:r>
              <w:br/>
            </w:r>
            <w:r>
              <w:rPr>
                <w:rFonts w:ascii="Calibri" w:eastAsia="Calibri" w:hAnsi="Calibri"/>
                <w:color w:val="5A5A5A"/>
                <w:sz w:val="20"/>
              </w:rPr>
              <w:t>Secure API, Azure SQL knowledge store, Copilot Studio on top — the same pattern for other SQL Accounting companies.</w:t>
            </w:r>
          </w:p>
        </w:tc>
      </w:tr>
    </w:tbl>
    <w:p w14:paraId="43A393DF" w14:textId="77777777" w:rsidR="0003172C" w:rsidRDefault="00000000">
      <w:pPr>
        <w:pBdr>
          <w:bottom w:val="single" w:sz="12" w:space="4" w:color="C4161C"/>
        </w:pBdr>
        <w:spacing w:before="240" w:after="120"/>
      </w:pPr>
      <w:r>
        <w:rPr>
          <w:rFonts w:ascii="Calibri" w:eastAsia="Calibri" w:hAnsi="Calibri"/>
          <w:b/>
          <w:color w:val="C4161C"/>
          <w:sz w:val="20"/>
        </w:rPr>
        <w:t>WHAT CHANGES</w:t>
      </w:r>
    </w:p>
    <w:tbl>
      <w:tblPr>
        <w:tblW w:w="0" w:type="auto"/>
        <w:tblBorders>
          <w:top w:val="single" w:sz="4" w:space="0" w:color="DCDCDC"/>
          <w:left w:val="single" w:sz="4" w:space="0" w:color="DCDCDC"/>
          <w:bottom w:val="single" w:sz="4" w:space="0" w:color="DCDCDC"/>
          <w:right w:val="single" w:sz="4" w:space="0" w:color="DCDCDC"/>
          <w:insideH w:val="single" w:sz="4" w:space="0" w:color="DCDCDC"/>
          <w:insideV w:val="single" w:sz="4" w:space="0" w:color="DCDCDC"/>
        </w:tblBorders>
        <w:tblLook w:val="04A0" w:firstRow="1" w:lastRow="0" w:firstColumn="1" w:lastColumn="0" w:noHBand="0" w:noVBand="1"/>
      </w:tblPr>
      <w:tblGrid>
        <w:gridCol w:w="5046"/>
        <w:gridCol w:w="5046"/>
      </w:tblGrid>
      <w:tr w:rsidR="0003172C" w14:paraId="1AC3CDA4" w14:textId="77777777">
        <w:tc>
          <w:tcPr>
            <w:tcW w:w="5046" w:type="dxa"/>
            <w:shd w:val="clear" w:color="auto" w:fill="F4F4F4"/>
          </w:tcPr>
          <w:p w14:paraId="756CBD4E" w14:textId="77777777" w:rsidR="0003172C" w:rsidRDefault="00000000">
            <w:pPr>
              <w:spacing w:before="40" w:after="40"/>
            </w:pPr>
            <w:r>
              <w:rPr>
                <w:rFonts w:ascii="Calibri" w:eastAsia="Calibri" w:hAnsi="Calibri"/>
                <w:b/>
                <w:color w:val="5A5A5A"/>
                <w:sz w:val="18"/>
              </w:rPr>
              <w:t>TODAY</w:t>
            </w:r>
          </w:p>
        </w:tc>
        <w:tc>
          <w:tcPr>
            <w:tcW w:w="5046" w:type="dxa"/>
            <w:shd w:val="clear" w:color="auto" w:fill="F4F4F4"/>
          </w:tcPr>
          <w:p w14:paraId="67A75DBB" w14:textId="77777777" w:rsidR="0003172C" w:rsidRDefault="00000000">
            <w:pPr>
              <w:spacing w:before="40" w:after="40"/>
            </w:pPr>
            <w:r>
              <w:rPr>
                <w:rFonts w:ascii="Calibri" w:eastAsia="Calibri" w:hAnsi="Calibri"/>
                <w:b/>
                <w:color w:val="5A5A5A"/>
                <w:sz w:val="18"/>
              </w:rPr>
              <w:t>WITH THIS PATH</w:t>
            </w:r>
          </w:p>
        </w:tc>
      </w:tr>
      <w:tr w:rsidR="0003172C" w14:paraId="71B65B3A" w14:textId="77777777">
        <w:tc>
          <w:tcPr>
            <w:tcW w:w="5046" w:type="dxa"/>
          </w:tcPr>
          <w:p w14:paraId="64B4C5F9" w14:textId="77777777" w:rsidR="0003172C" w:rsidRDefault="00000000">
            <w:pPr>
              <w:spacing w:before="40" w:after="40"/>
            </w:pPr>
            <w:r>
              <w:rPr>
                <w:rFonts w:ascii="Calibri" w:eastAsia="Calibri" w:hAnsi="Calibri"/>
                <w:color w:val="2C2C2C"/>
                <w:sz w:val="20"/>
              </w:rPr>
              <w:t>Open SQL Accounting, search, export, paste</w:t>
            </w:r>
          </w:p>
        </w:tc>
        <w:tc>
          <w:tcPr>
            <w:tcW w:w="5046" w:type="dxa"/>
          </w:tcPr>
          <w:p w14:paraId="061BC08B" w14:textId="77777777" w:rsidR="0003172C" w:rsidRDefault="00000000">
            <w:pPr>
              <w:spacing w:before="40" w:after="40"/>
            </w:pPr>
            <w:r>
              <w:rPr>
                <w:rFonts w:ascii="Calibri" w:eastAsia="Calibri" w:hAnsi="Calibri"/>
                <w:color w:val="2C2C2C"/>
                <w:sz w:val="20"/>
              </w:rPr>
              <w:t>Ask Copilot; answers come from Azure SQL</w:t>
            </w:r>
          </w:p>
        </w:tc>
      </w:tr>
      <w:tr w:rsidR="0003172C" w14:paraId="44D18F85" w14:textId="77777777">
        <w:tc>
          <w:tcPr>
            <w:tcW w:w="5046" w:type="dxa"/>
          </w:tcPr>
          <w:p w14:paraId="7BD6ABE4" w14:textId="77777777" w:rsidR="0003172C" w:rsidRDefault="00000000">
            <w:pPr>
              <w:spacing w:before="40" w:after="40"/>
            </w:pPr>
            <w:r>
              <w:rPr>
                <w:rFonts w:ascii="Calibri" w:eastAsia="Calibri" w:hAnsi="Calibri"/>
                <w:color w:val="2C2C2C"/>
                <w:sz w:val="20"/>
              </w:rPr>
              <w:t>Risk found after month-end packs</w:t>
            </w:r>
          </w:p>
        </w:tc>
        <w:tc>
          <w:tcPr>
            <w:tcW w:w="5046" w:type="dxa"/>
          </w:tcPr>
          <w:p w14:paraId="758D325A" w14:textId="77777777" w:rsidR="0003172C" w:rsidRDefault="00000000">
            <w:pPr>
              <w:spacing w:before="40" w:after="40"/>
            </w:pPr>
            <w:r>
              <w:rPr>
                <w:rFonts w:ascii="Calibri" w:eastAsia="Calibri" w:hAnsi="Calibri"/>
                <w:color w:val="2C2C2C"/>
                <w:sz w:val="20"/>
              </w:rPr>
              <w:t>CFO and Project Directors see variance as it posts</w:t>
            </w:r>
          </w:p>
        </w:tc>
      </w:tr>
      <w:tr w:rsidR="0003172C" w14:paraId="397FD8B8" w14:textId="77777777">
        <w:tc>
          <w:tcPr>
            <w:tcW w:w="5046" w:type="dxa"/>
          </w:tcPr>
          <w:p w14:paraId="367BBFA7" w14:textId="77777777" w:rsidR="0003172C" w:rsidRDefault="00000000">
            <w:pPr>
              <w:spacing w:before="40" w:after="40"/>
            </w:pPr>
            <w:r>
              <w:rPr>
                <w:rFonts w:ascii="Calibri" w:eastAsia="Calibri" w:hAnsi="Calibri"/>
                <w:color w:val="2C2C2C"/>
                <w:sz w:val="20"/>
              </w:rPr>
              <w:t>Numbers drift between files</w:t>
            </w:r>
          </w:p>
        </w:tc>
        <w:tc>
          <w:tcPr>
            <w:tcW w:w="5046" w:type="dxa"/>
          </w:tcPr>
          <w:p w14:paraId="44743772" w14:textId="77777777" w:rsidR="0003172C" w:rsidRDefault="00000000">
            <w:pPr>
              <w:spacing w:before="40" w:after="40"/>
            </w:pPr>
            <w:r>
              <w:rPr>
                <w:rFonts w:ascii="Calibri" w:eastAsia="Calibri" w:hAnsi="Calibri"/>
                <w:color w:val="2C2C2C"/>
                <w:sz w:val="20"/>
              </w:rPr>
              <w:t>One sync path: SQL Accounting API to Azure SQL</w:t>
            </w:r>
          </w:p>
        </w:tc>
      </w:tr>
    </w:tbl>
    <w:p w14:paraId="78A9EF8B" w14:textId="77777777" w:rsidR="0003172C" w:rsidRDefault="00000000">
      <w:pPr>
        <w:pBdr>
          <w:bottom w:val="single" w:sz="12" w:space="4" w:color="C4161C"/>
        </w:pBdr>
        <w:spacing w:before="240" w:after="120"/>
      </w:pPr>
      <w:r>
        <w:rPr>
          <w:rFonts w:ascii="Calibri" w:eastAsia="Calibri" w:hAnsi="Calibri"/>
          <w:b/>
          <w:color w:val="C4161C"/>
          <w:sz w:val="20"/>
        </w:rPr>
        <w:t>ASK COPILOT</w:t>
      </w:r>
    </w:p>
    <w:tbl>
      <w:tblPr>
        <w:tblW w:w="0" w:type="auto"/>
        <w:tblBorders>
          <w:top w:val="single" w:sz="4" w:space="0" w:color="DCDCDC"/>
          <w:left w:val="single" w:sz="4" w:space="0" w:color="DCDCDC"/>
          <w:bottom w:val="single" w:sz="4" w:space="0" w:color="DCDCDC"/>
          <w:right w:val="single" w:sz="4" w:space="0" w:color="DCDCDC"/>
          <w:insideH w:val="single" w:sz="4" w:space="0" w:color="DCDCDC"/>
          <w:insideV w:val="single" w:sz="4" w:space="0" w:color="DCDCDC"/>
        </w:tblBorders>
        <w:tblLook w:val="04A0" w:firstRow="1" w:lastRow="0" w:firstColumn="1" w:lastColumn="0" w:noHBand="0" w:noVBand="1"/>
      </w:tblPr>
      <w:tblGrid>
        <w:gridCol w:w="5046"/>
        <w:gridCol w:w="5046"/>
      </w:tblGrid>
      <w:tr w:rsidR="0003172C" w14:paraId="7AA0B849" w14:textId="77777777">
        <w:tc>
          <w:tcPr>
            <w:tcW w:w="5046" w:type="dxa"/>
            <w:shd w:val="clear" w:color="auto" w:fill="F4F4F4"/>
          </w:tcPr>
          <w:p w14:paraId="2A57AC7F" w14:textId="77777777" w:rsidR="0003172C" w:rsidRDefault="00000000">
            <w:pPr>
              <w:spacing w:before="40" w:after="40"/>
            </w:pPr>
            <w:r>
              <w:rPr>
                <w:rFonts w:ascii="Calibri" w:eastAsia="Calibri" w:hAnsi="Calibri"/>
                <w:b/>
                <w:color w:val="5A5A5A"/>
                <w:sz w:val="18"/>
              </w:rPr>
              <w:t>THEME</w:t>
            </w:r>
          </w:p>
        </w:tc>
        <w:tc>
          <w:tcPr>
            <w:tcW w:w="5046" w:type="dxa"/>
            <w:shd w:val="clear" w:color="auto" w:fill="F4F4F4"/>
          </w:tcPr>
          <w:p w14:paraId="00814780" w14:textId="77777777" w:rsidR="0003172C" w:rsidRDefault="00000000">
            <w:pPr>
              <w:spacing w:before="40" w:after="40"/>
            </w:pPr>
            <w:r>
              <w:rPr>
                <w:rFonts w:ascii="Calibri" w:eastAsia="Calibri" w:hAnsi="Calibri"/>
                <w:b/>
                <w:color w:val="5A5A5A"/>
                <w:sz w:val="18"/>
              </w:rPr>
              <w:t>EXAMPLE PROMPT</w:t>
            </w:r>
          </w:p>
        </w:tc>
      </w:tr>
      <w:tr w:rsidR="0003172C" w14:paraId="0042C710" w14:textId="77777777">
        <w:tc>
          <w:tcPr>
            <w:tcW w:w="5046" w:type="dxa"/>
          </w:tcPr>
          <w:p w14:paraId="02CAD0F8" w14:textId="77777777" w:rsidR="0003172C" w:rsidRDefault="00000000">
            <w:pPr>
              <w:spacing w:before="40" w:after="40"/>
            </w:pPr>
            <w:r>
              <w:rPr>
                <w:rFonts w:ascii="Calibri" w:eastAsia="Calibri" w:hAnsi="Calibri"/>
                <w:b/>
                <w:color w:val="2C2C2C"/>
                <w:sz w:val="20"/>
              </w:rPr>
              <w:t>Cash</w:t>
            </w:r>
          </w:p>
        </w:tc>
        <w:tc>
          <w:tcPr>
            <w:tcW w:w="5046" w:type="dxa"/>
          </w:tcPr>
          <w:p w14:paraId="39BF7045" w14:textId="77777777" w:rsidR="0003172C" w:rsidRDefault="00000000">
            <w:pPr>
              <w:spacing w:before="40" w:after="40"/>
            </w:pPr>
            <w:r>
              <w:rPr>
                <w:rFonts w:ascii="Calibri" w:eastAsia="Calibri" w:hAnsi="Calibri"/>
                <w:color w:val="2C2C2C"/>
                <w:sz w:val="20"/>
              </w:rPr>
              <w:t>What is cash position versus last month, and which receipts are still outstanding?</w:t>
            </w:r>
          </w:p>
        </w:tc>
      </w:tr>
      <w:tr w:rsidR="0003172C" w14:paraId="2301D500" w14:textId="77777777">
        <w:tc>
          <w:tcPr>
            <w:tcW w:w="5046" w:type="dxa"/>
          </w:tcPr>
          <w:p w14:paraId="1CDB5993" w14:textId="77777777" w:rsidR="0003172C" w:rsidRDefault="00000000">
            <w:pPr>
              <w:spacing w:before="40" w:after="40"/>
            </w:pPr>
            <w:r>
              <w:rPr>
                <w:rFonts w:ascii="Calibri" w:eastAsia="Calibri" w:hAnsi="Calibri"/>
                <w:b/>
                <w:color w:val="2C2C2C"/>
                <w:sz w:val="20"/>
              </w:rPr>
              <w:t>Projects</w:t>
            </w:r>
          </w:p>
        </w:tc>
        <w:tc>
          <w:tcPr>
            <w:tcW w:w="5046" w:type="dxa"/>
          </w:tcPr>
          <w:p w14:paraId="26082F0D" w14:textId="77777777" w:rsidR="0003172C" w:rsidRDefault="00000000">
            <w:pPr>
              <w:spacing w:before="40" w:after="40"/>
            </w:pPr>
            <w:r>
              <w:rPr>
                <w:rFonts w:ascii="Calibri" w:eastAsia="Calibri" w:hAnsi="Calibri"/>
                <w:color w:val="2C2C2C"/>
                <w:sz w:val="20"/>
              </w:rPr>
              <w:t>Which projects are overrunning cost, and what payment vouchers drove the variance?</w:t>
            </w:r>
          </w:p>
        </w:tc>
      </w:tr>
      <w:tr w:rsidR="0003172C" w14:paraId="2E86ECD3" w14:textId="77777777">
        <w:tc>
          <w:tcPr>
            <w:tcW w:w="5046" w:type="dxa"/>
          </w:tcPr>
          <w:p w14:paraId="18551B39" w14:textId="77777777" w:rsidR="0003172C" w:rsidRDefault="00000000">
            <w:pPr>
              <w:spacing w:before="40" w:after="40"/>
            </w:pPr>
            <w:r>
              <w:rPr>
                <w:rFonts w:ascii="Calibri" w:eastAsia="Calibri" w:hAnsi="Calibri"/>
                <w:b/>
                <w:color w:val="2C2C2C"/>
                <w:sz w:val="20"/>
              </w:rPr>
              <w:t>Payables</w:t>
            </w:r>
          </w:p>
        </w:tc>
        <w:tc>
          <w:tcPr>
            <w:tcW w:w="5046" w:type="dxa"/>
          </w:tcPr>
          <w:p w14:paraId="1402125B" w14:textId="77777777" w:rsidR="0003172C" w:rsidRDefault="00000000">
            <w:pPr>
              <w:spacing w:before="40" w:after="40"/>
            </w:pPr>
            <w:r>
              <w:rPr>
                <w:rFonts w:ascii="Calibri" w:eastAsia="Calibri" w:hAnsi="Calibri"/>
                <w:color w:val="2C2C2C"/>
                <w:sz w:val="20"/>
              </w:rPr>
              <w:t>Show payment vouchers issued this week, grouped by project and vendor.</w:t>
            </w:r>
          </w:p>
        </w:tc>
      </w:tr>
    </w:tbl>
    <w:p w14:paraId="0938243C" w14:textId="77777777" w:rsidR="0003172C" w:rsidRDefault="00000000">
      <w:pPr>
        <w:pBdr>
          <w:top w:val="single" w:sz="8" w:space="8" w:color="DCDCDC"/>
        </w:pBdr>
        <w:spacing w:before="280" w:after="0"/>
      </w:pPr>
      <w:r>
        <w:rPr>
          <w:rFonts w:ascii="Calibri" w:eastAsia="Calibri" w:hAnsi="Calibri"/>
          <w:color w:val="5A5A5A"/>
          <w:sz w:val="18"/>
        </w:rPr>
        <w:t>SQL Accounting remains the system of record. Firebird is not exposed to Microsoft 365. Copilot reads a governed Azure SQL replica.     CREST</w:t>
      </w:r>
    </w:p>
    <w:sectPr w:rsidR="0003172C" w:rsidSect="00034616">
      <w:pgSz w:w="11906" w:h="16838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1605831">
    <w:abstractNumId w:val="8"/>
  </w:num>
  <w:num w:numId="2" w16cid:durableId="2060275127">
    <w:abstractNumId w:val="6"/>
  </w:num>
  <w:num w:numId="3" w16cid:durableId="1907373015">
    <w:abstractNumId w:val="5"/>
  </w:num>
  <w:num w:numId="4" w16cid:durableId="1481534349">
    <w:abstractNumId w:val="4"/>
  </w:num>
  <w:num w:numId="5" w16cid:durableId="1345279769">
    <w:abstractNumId w:val="7"/>
  </w:num>
  <w:num w:numId="6" w16cid:durableId="865101386">
    <w:abstractNumId w:val="3"/>
  </w:num>
  <w:num w:numId="7" w16cid:durableId="1054310325">
    <w:abstractNumId w:val="2"/>
  </w:num>
  <w:num w:numId="8" w16cid:durableId="1076783404">
    <w:abstractNumId w:val="1"/>
  </w:num>
  <w:num w:numId="9" w16cid:durableId="446432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172C"/>
    <w:rsid w:val="00034616"/>
    <w:rsid w:val="0006063C"/>
    <w:rsid w:val="00076AE1"/>
    <w:rsid w:val="0015074B"/>
    <w:rsid w:val="0029639D"/>
    <w:rsid w:val="00326F90"/>
    <w:rsid w:val="00AA1D8D"/>
    <w:rsid w:val="00B47730"/>
    <w:rsid w:val="00B7153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BD4D8B"/>
  <w14:defaultImageDpi w14:val="300"/>
  <w15:docId w15:val="{0D4129FE-CDDC-49CD-BD50-EF9A3640C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Manish Chauhan</cp:lastModifiedBy>
  <cp:revision>2</cp:revision>
  <dcterms:created xsi:type="dcterms:W3CDTF">2013-12-23T23:15:00Z</dcterms:created>
  <dcterms:modified xsi:type="dcterms:W3CDTF">2026-09-04T12:57:00Z</dcterms:modified>
  <cp:category/>
</cp:coreProperties>
</file>