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4933"/>
        <w:gridCol w:w="4933"/>
      </w:tblGrid>
      <w:tr>
        <w:tc>
          <w:tcPr>
            <w:tcW w:type="dxa" w:w="4933"/>
          </w:tcPr>
          <w:p>
            <w:r>
              <w:drawing>
                <wp:inline xmlns:a="http://schemas.openxmlformats.org/drawingml/2006/main" xmlns:pic="http://schemas.openxmlformats.org/drawingml/2006/picture">
                  <wp:extent cx="1368000" cy="940500"/>
                  <wp:docPr id="1" name="Picture 1"/>
                  <wp:cNvGraphicFramePr>
                    <a:graphicFrameLocks noChangeAspect="1"/>
                  </wp:cNvGraphicFramePr>
                  <a:graphic>
                    <a:graphicData uri="http://schemas.openxmlformats.org/drawingml/2006/picture">
                      <pic:pic>
                        <pic:nvPicPr>
                          <pic:cNvPr id="0" name="crest-logo.png"/>
                          <pic:cNvPicPr/>
                        </pic:nvPicPr>
                        <pic:blipFill>
                          <a:blip r:embed="rId9"/>
                          <a:stretch>
                            <a:fillRect/>
                          </a:stretch>
                        </pic:blipFill>
                        <pic:spPr>
                          <a:xfrm>
                            <a:off x="0" y="0"/>
                            <a:ext cx="1368000" cy="940500"/>
                          </a:xfrm>
                          <a:prstGeom prst="rect"/>
                        </pic:spPr>
                      </pic:pic>
                    </a:graphicData>
                  </a:graphic>
                </wp:inline>
              </w:drawing>
            </w:r>
          </w:p>
        </w:tc>
        <w:tc>
          <w:tcPr>
            <w:tcW w:type="dxa" w:w="4933"/>
          </w:tcPr>
          <w:p>
            <w:pPr>
              <w:jc w:val="right"/>
            </w:pPr>
            <w:r>
              <w:rPr>
                <w:rFonts w:ascii="Calibri" w:hAnsi="Calibri" w:eastAsia="Calibri"/>
                <w:b/>
                <w:color w:val="C4161C"/>
                <w:sz w:val="18"/>
              </w:rPr>
              <w:t>COPY KIT</w:t>
            </w:r>
          </w:p>
          <w:p>
            <w:pPr>
              <w:jc w:val="right"/>
            </w:pPr>
            <w:r>
              <w:rPr>
                <w:rFonts w:ascii="Calibri" w:hAnsi="Calibri" w:eastAsia="Calibri"/>
                <w:b w:val="0"/>
                <w:color w:val="5A5A5A"/>
                <w:sz w:val="18"/>
              </w:rPr>
              <w:t>Website, email, and outreach</w:t>
            </w:r>
          </w:p>
        </w:tc>
      </w:tr>
    </w:tbl>
    <w:p>
      <w:pPr>
        <w:spacing w:after="160"/>
        <w:pBdr>
          <w:bottom w:val="single" w:sz="18" w:space="1" w:color="C4161C"/>
        </w:pBdr>
      </w:pPr>
    </w:p>
    <w:p>
      <w:pPr>
        <w:spacing w:before="0" w:after="80" w:line="240" w:lineRule="auto"/>
      </w:pPr>
      <w:r>
        <w:rPr>
          <w:rFonts w:ascii="Calibri" w:hAnsi="Calibri" w:eastAsia="Calibri"/>
          <w:b/>
          <w:color w:val="2C2C2C"/>
          <w:sz w:val="44"/>
        </w:rPr>
        <w:t>Words you can send</w:t>
      </w:r>
    </w:p>
    <w:p>
      <w:pPr>
        <w:spacing w:before="0" w:after="160" w:line="240" w:lineRule="auto"/>
      </w:pPr>
      <w:r>
        <w:rPr>
          <w:rFonts w:ascii="Calibri" w:hAnsi="Calibri" w:eastAsia="Calibri"/>
          <w:b w:val="0"/>
          <w:color w:val="5A5A5A"/>
          <w:sz w:val="22"/>
        </w:rPr>
        <w:t>Keep claims qualitative. The source deck does not publish a percentage ROI.</w:t>
      </w:r>
    </w:p>
    <w:p>
      <w:pPr>
        <w:spacing w:before="280" w:after="120"/>
        <w:pBdr>
          <w:bottom w:val="single" w:sz="12" w:space="4" w:color="C4161C"/>
        </w:pBdr>
      </w:pPr>
      <w:r>
        <w:rPr>
          <w:rFonts w:ascii="Calibri" w:hAnsi="Calibri" w:eastAsia="Calibri"/>
          <w:b/>
          <w:color w:val="C4161C"/>
          <w:sz w:val="20"/>
        </w:rPr>
        <w:t>WEBSITE HERO (RECOMMENDED)</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shd w:fill="F4F4F4" w:val="clear"/>
          </w:tcPr>
          <w:p>
            <w:pPr>
              <w:spacing w:before="20" w:after="20"/>
            </w:pPr>
            <w:r/>
            <w:r>
              <w:rPr>
                <w:rFonts w:ascii="Calibri" w:hAnsi="Calibri" w:eastAsia="Calibri"/>
                <w:b w:val="0"/>
                <w:color w:val="2C2C2C"/>
                <w:sz w:val="22"/>
              </w:rPr>
              <w:t>Headline</w:t>
            </w:r>
          </w:p>
          <w:p>
            <w:pPr>
              <w:spacing w:before="20" w:after="20"/>
            </w:pPr>
            <w:r>
              <w:rPr>
                <w:rFonts w:ascii="Calibri" w:hAnsi="Calibri" w:eastAsia="Calibri"/>
                <w:b w:val="0"/>
                <w:color w:val="2C2C2C"/>
                <w:sz w:val="22"/>
              </w:rPr>
              <w:t>Copilot that can see your books.</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Subhead</w:t>
            </w:r>
          </w:p>
          <w:p>
            <w:pPr>
              <w:spacing w:before="20" w:after="20"/>
            </w:pPr>
            <w:r>
              <w:rPr>
                <w:rFonts w:ascii="Calibri" w:hAnsi="Calibri" w:eastAsia="Calibri"/>
                <w:b w:val="0"/>
                <w:color w:val="2C2C2C"/>
                <w:sz w:val="22"/>
              </w:rPr>
              <w:t>Connect SQL Accounting to Microsoft Copilot. CFOs and Project Directors ask cash, cost, and voucher questions in plain language — from the live ledger, not last week’s export.</w:t>
            </w:r>
          </w:p>
        </w:tc>
      </w:tr>
    </w:tbl>
    <w:p>
      <w:pPr>
        <w:spacing w:after="0"/>
      </w:pPr>
    </w:p>
    <w:p>
      <w:pPr>
        <w:spacing w:before="280" w:after="120"/>
        <w:pBdr>
          <w:bottom w:val="single" w:sz="12" w:space="4" w:color="C4161C"/>
        </w:pBdr>
      </w:pPr>
      <w:r>
        <w:rPr>
          <w:rFonts w:ascii="Calibri" w:hAnsi="Calibri" w:eastAsia="Calibri"/>
          <w:b/>
          <w:color w:val="C4161C"/>
          <w:sz w:val="20"/>
        </w:rPr>
        <w:t>WEBSITE HEADLINE OPTIONS</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4933"/>
        <w:gridCol w:w="4933"/>
      </w:tblGrid>
      <w:tr>
        <w:tc>
          <w:tcPr>
            <w:tcW w:type="dxa" w:w="4933"/>
            <w:shd w:fill="F4F4F4" w:val="clear"/>
          </w:tcPr>
          <w:p>
            <w:pPr>
              <w:spacing w:before="60" w:after="60"/>
            </w:pPr>
            <w:r/>
            <w:r>
              <w:rPr>
                <w:rFonts w:ascii="Calibri" w:hAnsi="Calibri" w:eastAsia="Calibri"/>
                <w:b/>
                <w:color w:val="5A5A5A"/>
                <w:sz w:val="18"/>
              </w:rPr>
              <w:t>HEADLINE</w:t>
            </w:r>
          </w:p>
        </w:tc>
        <w:tc>
          <w:tcPr>
            <w:tcW w:type="dxa" w:w="4933"/>
            <w:shd w:fill="F4F4F4" w:val="clear"/>
          </w:tcPr>
          <w:p>
            <w:pPr>
              <w:spacing w:before="60" w:after="60"/>
            </w:pPr>
            <w:r/>
            <w:r>
              <w:rPr>
                <w:rFonts w:ascii="Calibri" w:hAnsi="Calibri" w:eastAsia="Calibri"/>
                <w:b/>
                <w:color w:val="5A5A5A"/>
                <w:sz w:val="18"/>
              </w:rPr>
              <w:t>SUBHEAD</w:t>
            </w:r>
          </w:p>
        </w:tc>
      </w:tr>
      <w:tr>
        <w:tc>
          <w:tcPr>
            <w:tcW w:type="dxa" w:w="4933"/>
          </w:tcPr>
          <w:p>
            <w:pPr>
              <w:spacing w:before="60" w:after="60"/>
            </w:pPr>
            <w:r/>
            <w:r>
              <w:rPr>
                <w:rFonts w:ascii="Calibri" w:hAnsi="Calibri" w:eastAsia="Calibri"/>
                <w:b/>
                <w:color w:val="2C2C2C"/>
                <w:sz w:val="22"/>
              </w:rPr>
              <w:t>Copilot that can see your books.</w:t>
            </w:r>
          </w:p>
        </w:tc>
        <w:tc>
          <w:tcPr>
            <w:tcW w:type="dxa" w:w="4933"/>
          </w:tcPr>
          <w:p>
            <w:pPr>
              <w:spacing w:before="60" w:after="60"/>
            </w:pPr>
            <w:r/>
            <w:r>
              <w:rPr>
                <w:rFonts w:ascii="Calibri" w:hAnsi="Calibri" w:eastAsia="Calibri"/>
                <w:b w:val="0"/>
                <w:color w:val="2C2C2C"/>
                <w:sz w:val="22"/>
              </w:rPr>
              <w:t>SQL Accounting stays the ledger. Microsoft Copilot becomes the front door for cash, project cost, and voucher questions.</w:t>
            </w:r>
          </w:p>
        </w:tc>
      </w:tr>
      <w:tr>
        <w:tc>
          <w:tcPr>
            <w:tcW w:type="dxa" w:w="4933"/>
          </w:tcPr>
          <w:p>
            <w:pPr>
              <w:spacing w:before="60" w:after="60"/>
            </w:pPr>
            <w:r/>
            <w:r>
              <w:rPr>
                <w:rFonts w:ascii="Calibri" w:hAnsi="Calibri" w:eastAsia="Calibri"/>
                <w:b/>
                <w:color w:val="2C2C2C"/>
                <w:sz w:val="22"/>
              </w:rPr>
              <w:t>Your ERP, in Copilot.</w:t>
            </w:r>
          </w:p>
        </w:tc>
        <w:tc>
          <w:tcPr>
            <w:tcW w:type="dxa" w:w="4933"/>
          </w:tcPr>
          <w:p>
            <w:pPr>
              <w:spacing w:before="60" w:after="60"/>
            </w:pPr>
            <w:r/>
            <w:r>
              <w:rPr>
                <w:rFonts w:ascii="Calibri" w:hAnsi="Calibri" w:eastAsia="Calibri"/>
                <w:b w:val="0"/>
                <w:color w:val="2C2C2C"/>
                <w:sz w:val="22"/>
              </w:rPr>
              <w:t>Finance already has the numbers. Leadership should not wait for a pack to see them.</w:t>
            </w:r>
          </w:p>
        </w:tc>
      </w:tr>
      <w:tr>
        <w:tc>
          <w:tcPr>
            <w:tcW w:type="dxa" w:w="4933"/>
          </w:tcPr>
          <w:p>
            <w:pPr>
              <w:spacing w:before="60" w:after="60"/>
            </w:pPr>
            <w:r/>
            <w:r>
              <w:rPr>
                <w:rFonts w:ascii="Calibri" w:hAnsi="Calibri" w:eastAsia="Calibri"/>
                <w:b/>
                <w:color w:val="2C2C2C"/>
                <w:sz w:val="22"/>
              </w:rPr>
              <w:t>Stop exporting the ledger to answer a question.</w:t>
            </w:r>
          </w:p>
        </w:tc>
        <w:tc>
          <w:tcPr>
            <w:tcW w:type="dxa" w:w="4933"/>
          </w:tcPr>
          <w:p>
            <w:pPr>
              <w:spacing w:before="60" w:after="60"/>
            </w:pPr>
            <w:r/>
            <w:r>
              <w:rPr>
                <w:rFonts w:ascii="Calibri" w:hAnsi="Calibri" w:eastAsia="Calibri"/>
                <w:b w:val="0"/>
                <w:color w:val="2C2C2C"/>
                <w:sz w:val="22"/>
              </w:rPr>
              <w:t>Journals, payment vouchers, and receipts sync into Azure SQL. You ask in Microsoft Copilot.</w:t>
            </w:r>
          </w:p>
        </w:tc>
      </w:tr>
      <w:tr>
        <w:tc>
          <w:tcPr>
            <w:tcW w:type="dxa" w:w="4933"/>
          </w:tcPr>
          <w:p>
            <w:pPr>
              <w:spacing w:before="60" w:after="60"/>
            </w:pPr>
            <w:r/>
            <w:r>
              <w:rPr>
                <w:rFonts w:ascii="Calibri" w:hAnsi="Calibri" w:eastAsia="Calibri"/>
                <w:b/>
                <w:color w:val="2C2C2C"/>
                <w:sz w:val="22"/>
              </w:rPr>
              <w:t>The missing wire between SQL Accounting and Copilot.</w:t>
            </w:r>
          </w:p>
        </w:tc>
        <w:tc>
          <w:tcPr>
            <w:tcW w:type="dxa" w:w="4933"/>
          </w:tcPr>
          <w:p>
            <w:pPr>
              <w:spacing w:before="60" w:after="60"/>
            </w:pPr>
            <w:r/>
            <w:r>
              <w:rPr>
                <w:rFonts w:ascii="Calibri" w:hAnsi="Calibri" w:eastAsia="Calibri"/>
                <w:b w:val="0"/>
                <w:color w:val="2C2C2C"/>
                <w:sz w:val="22"/>
              </w:rPr>
              <w:t>A governed Azure path so project risk shows up when it posts — not after month-end.</w:t>
            </w:r>
          </w:p>
        </w:tc>
      </w:tr>
      <w:tr>
        <w:tc>
          <w:tcPr>
            <w:tcW w:type="dxa" w:w="4933"/>
          </w:tcPr>
          <w:p>
            <w:pPr>
              <w:spacing w:before="60" w:after="60"/>
            </w:pPr>
            <w:r/>
            <w:r>
              <w:rPr>
                <w:rFonts w:ascii="Calibri" w:hAnsi="Calibri" w:eastAsia="Calibri"/>
                <w:b/>
                <w:color w:val="2C2C2C"/>
                <w:sz w:val="22"/>
              </w:rPr>
              <w:t>Ask once. Answer from the live books.</w:t>
            </w:r>
          </w:p>
        </w:tc>
        <w:tc>
          <w:tcPr>
            <w:tcW w:type="dxa" w:w="4933"/>
          </w:tcPr>
          <w:p>
            <w:pPr>
              <w:spacing w:before="60" w:after="60"/>
            </w:pPr>
            <w:r/>
            <w:r>
              <w:rPr>
                <w:rFonts w:ascii="Calibri" w:hAnsi="Calibri" w:eastAsia="Calibri"/>
                <w:b w:val="0"/>
                <w:color w:val="2C2C2C"/>
                <w:sz w:val="22"/>
              </w:rPr>
              <w:t>Natural-language access to SQL Accounting for CFOs and Project Directors, without opening the ERP.</w:t>
            </w:r>
          </w:p>
        </w:tc>
      </w:tr>
    </w:tbl>
    <w:p>
      <w:pPr>
        <w:spacing w:before="280" w:after="120"/>
        <w:pBdr>
          <w:bottom w:val="single" w:sz="12" w:space="4" w:color="C4161C"/>
        </w:pBdr>
      </w:pPr>
      <w:r>
        <w:rPr>
          <w:rFonts w:ascii="Calibri" w:hAnsi="Calibri" w:eastAsia="Calibri"/>
          <w:b/>
          <w:color w:val="C4161C"/>
          <w:sz w:val="20"/>
        </w:rPr>
        <w:t>EMAIL CAMPAIGN</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shd w:fill="F4F4F4" w:val="clear"/>
          </w:tcPr>
          <w:p>
            <w:pPr>
              <w:spacing w:before="20" w:after="20"/>
            </w:pPr>
            <w:r/>
            <w:r>
              <w:rPr>
                <w:rFonts w:ascii="Calibri" w:hAnsi="Calibri" w:eastAsia="Calibri"/>
                <w:b w:val="0"/>
                <w:color w:val="2C2C2C"/>
                <w:sz w:val="22"/>
              </w:rPr>
              <w:t>Subject (recommended)</w:t>
            </w:r>
          </w:p>
          <w:p>
            <w:pPr>
              <w:spacing w:before="20" w:after="20"/>
            </w:pPr>
            <w:r>
              <w:rPr>
                <w:rFonts w:ascii="Calibri" w:hAnsi="Calibri" w:eastAsia="Calibri"/>
                <w:b w:val="0"/>
                <w:color w:val="2C2C2C"/>
                <w:sz w:val="22"/>
              </w:rPr>
              <w:t>Can Copilot see your SQL Accounting data?</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Preview text</w:t>
            </w:r>
          </w:p>
          <w:p>
            <w:pPr>
              <w:spacing w:before="20" w:after="20"/>
            </w:pPr>
            <w:r>
              <w:rPr>
                <w:rFonts w:ascii="Calibri" w:hAnsi="Calibri" w:eastAsia="Calibri"/>
                <w:b w:val="0"/>
                <w:color w:val="2C2C2C"/>
                <w:sz w:val="22"/>
              </w:rPr>
              <w:t>Most Copilot licences still stop at Word and Excel.</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Hero</w:t>
            </w:r>
          </w:p>
          <w:p>
            <w:pPr>
              <w:spacing w:before="20" w:after="20"/>
            </w:pPr>
            <w:r>
              <w:rPr>
                <w:rFonts w:ascii="Calibri" w:hAnsi="Calibri" w:eastAsia="Calibri"/>
                <w:b w:val="0"/>
                <w:color w:val="2C2C2C"/>
                <w:sz w:val="22"/>
              </w:rPr>
              <w:t>Your Copilot already writes. It still cannot see the ledger.</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Body open</w:t>
            </w:r>
          </w:p>
          <w:p>
            <w:pPr>
              <w:spacing w:before="20" w:after="20"/>
            </w:pPr>
            <w:r>
              <w:rPr>
                <w:rFonts w:ascii="Calibri" w:hAnsi="Calibri" w:eastAsia="Calibri"/>
                <w:b w:val="0"/>
                <w:color w:val="2C2C2C"/>
                <w:sz w:val="22"/>
              </w:rPr>
              <w:t>Microsoft Copilot is useful in Word and Excel. It cannot answer “what did we pay on this project this week?” until it can see SQL Accounting.</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We connect the ledger to Copilot through Azure: signed API, Data Factory sync, Azure SQL as the knowledge source, Copilot Studio on top. CFOs and Project Directors get a conversational view of live journals and vouchers — without a new reporting stack.</w:t>
            </w:r>
          </w:p>
        </w:tc>
      </w:tr>
    </w:tbl>
    <w:p>
      <w:pPr>
        <w:spacing w:after="0"/>
      </w:pPr>
    </w:p>
    <w:p>
      <w:pPr>
        <w:spacing w:before="280" w:after="120"/>
        <w:pBdr>
          <w:bottom w:val="single" w:sz="12" w:space="4" w:color="C4161C"/>
        </w:pBdr>
      </w:pPr>
      <w:r>
        <w:rPr>
          <w:rFonts w:ascii="Calibri" w:hAnsi="Calibri" w:eastAsia="Calibri"/>
          <w:b/>
          <w:color w:val="C4161C"/>
          <w:sz w:val="20"/>
        </w:rPr>
        <w:t>EMAIL SUBJECT OPTIONS</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tcPr>
          <w:p>
            <w:pPr>
              <w:spacing w:before="60" w:after="60"/>
            </w:pPr>
            <w:r/>
            <w:r>
              <w:rPr>
                <w:rFonts w:ascii="Calibri" w:hAnsi="Calibri" w:eastAsia="Calibri"/>
                <w:b w:val="0"/>
                <w:color w:val="2C2C2C"/>
                <w:sz w:val="22"/>
              </w:rPr>
              <w:t>Can Copilot see your SQL Accounting data?</w:t>
            </w:r>
          </w:p>
        </w:tc>
      </w:tr>
      <w:tr>
        <w:tc>
          <w:tcPr>
            <w:tcW w:type="dxa" w:w="9866"/>
          </w:tcPr>
          <w:p>
            <w:pPr>
              <w:spacing w:before="60" w:after="60"/>
            </w:pPr>
            <w:r/>
            <w:r>
              <w:rPr>
                <w:rFonts w:ascii="Calibri" w:hAnsi="Calibri" w:eastAsia="Calibri"/>
                <w:b w:val="0"/>
                <w:color w:val="2C2C2C"/>
                <w:sz w:val="22"/>
              </w:rPr>
              <w:t>Your Copilot still cannot answer a project-cost question</w:t>
            </w:r>
          </w:p>
        </w:tc>
      </w:tr>
      <w:tr>
        <w:tc>
          <w:tcPr>
            <w:tcW w:type="dxa" w:w="9866"/>
          </w:tcPr>
          <w:p>
            <w:pPr>
              <w:spacing w:before="60" w:after="60"/>
            </w:pPr>
            <w:r/>
            <w:r>
              <w:rPr>
                <w:rFonts w:ascii="Calibri" w:hAnsi="Calibri" w:eastAsia="Calibri"/>
                <w:b w:val="0"/>
                <w:color w:val="2C2C2C"/>
                <w:sz w:val="22"/>
              </w:rPr>
              <w:t>What did we pay on this project this week?</w:t>
            </w:r>
          </w:p>
        </w:tc>
      </w:tr>
      <w:tr>
        <w:tc>
          <w:tcPr>
            <w:tcW w:type="dxa" w:w="9866"/>
          </w:tcPr>
          <w:p>
            <w:pPr>
              <w:spacing w:before="60" w:after="60"/>
            </w:pPr>
            <w:r/>
            <w:r>
              <w:rPr>
                <w:rFonts w:ascii="Calibri" w:hAnsi="Calibri" w:eastAsia="Calibri"/>
                <w:b w:val="0"/>
                <w:color w:val="2C2C2C"/>
                <w:sz w:val="22"/>
              </w:rPr>
              <w:t>Month-end is too late to see voucher risk</w:t>
            </w:r>
          </w:p>
        </w:tc>
      </w:tr>
      <w:tr>
        <w:tc>
          <w:tcPr>
            <w:tcW w:type="dxa" w:w="9866"/>
          </w:tcPr>
          <w:p>
            <w:pPr>
              <w:spacing w:before="60" w:after="60"/>
            </w:pPr>
            <w:r/>
            <w:r>
              <w:rPr>
                <w:rFonts w:ascii="Calibri" w:hAnsi="Calibri" w:eastAsia="Calibri"/>
                <w:b w:val="0"/>
                <w:color w:val="2C2C2C"/>
                <w:sz w:val="22"/>
              </w:rPr>
              <w:t>SQL Accounting, without opening SQL Accounting</w:t>
            </w:r>
          </w:p>
        </w:tc>
      </w:tr>
    </w:tbl>
    <w:p>
      <w:pPr>
        <w:spacing w:before="280" w:after="120"/>
        <w:pBdr>
          <w:bottom w:val="single" w:sz="12" w:space="4" w:color="C4161C"/>
        </w:pBdr>
      </w:pPr>
      <w:r>
        <w:rPr>
          <w:rFonts w:ascii="Calibri" w:hAnsi="Calibri" w:eastAsia="Calibri"/>
          <w:b/>
          <w:color w:val="C4161C"/>
          <w:sz w:val="20"/>
        </w:rPr>
        <w:t>HEADLINES (ONE-PAGER / GENERAL)</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tcPr>
          <w:p>
            <w:pPr>
              <w:spacing w:before="60" w:after="60"/>
            </w:pPr>
            <w:r/>
            <w:r>
              <w:rPr>
                <w:rFonts w:ascii="Calibri" w:hAnsi="Calibri" w:eastAsia="Calibri"/>
                <w:b w:val="0"/>
                <w:color w:val="2C2C2C"/>
                <w:sz w:val="22"/>
              </w:rPr>
              <w:t>Ask your books. Act on risk. Before month-end.</w:t>
            </w:r>
          </w:p>
        </w:tc>
      </w:tr>
      <w:tr>
        <w:tc>
          <w:tcPr>
            <w:tcW w:type="dxa" w:w="9866"/>
          </w:tcPr>
          <w:p>
            <w:pPr>
              <w:spacing w:before="60" w:after="60"/>
            </w:pPr>
            <w:r/>
            <w:r>
              <w:rPr>
                <w:rFonts w:ascii="Calibri" w:hAnsi="Calibri" w:eastAsia="Calibri"/>
                <w:b w:val="0"/>
                <w:color w:val="2C2C2C"/>
                <w:sz w:val="22"/>
              </w:rPr>
              <w:t>AI for Accounting and ERP Software</w:t>
            </w:r>
          </w:p>
        </w:tc>
      </w:tr>
      <w:tr>
        <w:tc>
          <w:tcPr>
            <w:tcW w:type="dxa" w:w="9866"/>
          </w:tcPr>
          <w:p>
            <w:pPr>
              <w:spacing w:before="60" w:after="60"/>
            </w:pPr>
            <w:r/>
            <w:r>
              <w:rPr>
                <w:rFonts w:ascii="Calibri" w:hAnsi="Calibri" w:eastAsia="Calibri"/>
                <w:b w:val="0"/>
                <w:color w:val="2C2C2C"/>
                <w:sz w:val="22"/>
              </w:rPr>
              <w:t>SQL Accounting, in Microsoft Copilot.</w:t>
            </w:r>
          </w:p>
        </w:tc>
      </w:tr>
    </w:tbl>
    <w:p>
      <w:pPr>
        <w:spacing w:before="280" w:after="120"/>
        <w:pBdr>
          <w:bottom w:val="single" w:sz="12" w:space="4" w:color="C4161C"/>
        </w:pBdr>
      </w:pPr>
      <w:r>
        <w:rPr>
          <w:rFonts w:ascii="Calibri" w:hAnsi="Calibri" w:eastAsia="Calibri"/>
          <w:b/>
          <w:color w:val="C4161C"/>
          <w:sz w:val="20"/>
        </w:rPr>
        <w:t>30-SECOND ELEVATOR</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shd w:fill="F4F4F4" w:val="clear"/>
          </w:tcPr>
          <w:p>
            <w:pPr>
              <w:spacing w:before="20" w:after="20"/>
            </w:pPr>
            <w:r/>
            <w:r>
              <w:rPr>
                <w:rFonts w:ascii="Calibri" w:hAnsi="Calibri" w:eastAsia="Calibri"/>
                <w:b w:val="0"/>
                <w:color w:val="2C2C2C"/>
                <w:sz w:val="22"/>
              </w:rPr>
              <w:t>Our Client connects SQL Accounting to Microsoft Copilot. Journals, payment vouchers, and receipt vouchers sync into Azure SQL. CFOs and Project Directors ask questions in plain language and get answers from the live books — not from a spreadsheet chase.</w:t>
            </w:r>
          </w:p>
        </w:tc>
      </w:tr>
    </w:tbl>
    <w:p>
      <w:pPr>
        <w:spacing w:after="0"/>
      </w:pPr>
    </w:p>
    <w:p>
      <w:pPr>
        <w:spacing w:before="280" w:after="120"/>
        <w:pBdr>
          <w:bottom w:val="single" w:sz="12" w:space="4" w:color="C4161C"/>
        </w:pBdr>
      </w:pPr>
      <w:r>
        <w:rPr>
          <w:rFonts w:ascii="Calibri" w:hAnsi="Calibri" w:eastAsia="Calibri"/>
          <w:b/>
          <w:color w:val="C4161C"/>
          <w:sz w:val="20"/>
        </w:rPr>
        <w:t>LINKEDIN</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shd w:fill="F4F4F4" w:val="clear"/>
          </w:tcPr>
          <w:p>
            <w:pPr>
              <w:spacing w:before="20" w:after="20"/>
            </w:pPr>
            <w:r/>
            <w:r>
              <w:rPr>
                <w:rFonts w:ascii="Calibri" w:hAnsi="Calibri" w:eastAsia="Calibri"/>
                <w:b w:val="0"/>
                <w:color w:val="2C2C2C"/>
                <w:sz w:val="22"/>
              </w:rPr>
              <w:t>Most Copilot rollouts stop at Word and Excel. Finance still opens the ERP to answer a simple cash or project-cost question.</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We connect SQL Accounting to Microsoft Copilot through Azure: signed API, Data Factory sync, Azure SQL as the knowledge source, Copilot Studio on top.</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CFOs and Project Directors get a decision-ready view without a new reporting stack. If you run SQL Accounting and already have Copilot, this is the missing wire.</w:t>
            </w:r>
          </w:p>
        </w:tc>
      </w:tr>
    </w:tbl>
    <w:p>
      <w:pPr>
        <w:spacing w:after="0"/>
      </w:pPr>
    </w:p>
    <w:p>
      <w:pPr>
        <w:spacing w:before="280" w:after="120"/>
        <w:pBdr>
          <w:bottom w:val="single" w:sz="12" w:space="4" w:color="C4161C"/>
        </w:pBdr>
      </w:pPr>
      <w:r>
        <w:rPr>
          <w:rFonts w:ascii="Calibri" w:hAnsi="Calibri" w:eastAsia="Calibri"/>
          <w:b/>
          <w:color w:val="C4161C"/>
          <w:sz w:val="20"/>
        </w:rPr>
        <w:t>OUTREACH EMAIL</w:t>
      </w:r>
    </w:p>
    <w:tbl>
      <w:tblPr>
        <w:tblW w:type="auto" w:w="0"/>
        <w:tblLayout w:type="autofit"/>
        <w:tblLook w:firstColumn="1" w:firstRow="1" w:lastColumn="0" w:lastRow="0" w:noHBand="0" w:noVBand="1" w:val="04A0"/>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Pr>
      <w:tblGrid>
        <w:gridCol w:w="9866"/>
      </w:tblGrid>
      <w:tr>
        <w:tc>
          <w:tcPr>
            <w:tcW w:type="dxa" w:w="9866"/>
            <w:shd w:fill="F4F4F4" w:val="clear"/>
          </w:tcPr>
          <w:p>
            <w:pPr>
              <w:spacing w:before="20" w:after="20"/>
            </w:pPr>
            <w:r/>
            <w:r>
              <w:rPr>
                <w:rFonts w:ascii="Calibri" w:hAnsi="Calibri" w:eastAsia="Calibri"/>
                <w:b w:val="0"/>
                <w:color w:val="2C2C2C"/>
                <w:sz w:val="22"/>
              </w:rPr>
              <w:t>Subject: Copilot that can see SQL Accounting</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Most Microsoft Copilot licences still cannot answer “what did we pay on this project this week?” because the ERP is out of reach.</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We built a path for Our Client that keeps SQL Accounting as the ledger, syncs journals and vouchers into Azure SQL, and lets Copilot Studio answer in natural language. CFOs and Project Directors get an earlier view of risk; finance stops re-keying the same lookups.</w:t>
            </w:r>
          </w:p>
          <w:p>
            <w:pPr>
              <w:spacing w:before="20" w:after="20"/>
            </w:pPr>
            <w:r>
              <w:rPr>
                <w:rFonts w:ascii="Calibri" w:hAnsi="Calibri" w:eastAsia="Calibri"/>
                <w:b w:val="0"/>
                <w:color w:val="2C2C2C"/>
                <w:sz w:val="22"/>
              </w:rPr>
              <w:t xml:space="preserve"> </w:t>
            </w:r>
          </w:p>
          <w:p>
            <w:pPr>
              <w:spacing w:before="20" w:after="20"/>
            </w:pPr>
            <w:r>
              <w:rPr>
                <w:rFonts w:ascii="Calibri" w:hAnsi="Calibri" w:eastAsia="Calibri"/>
                <w:b w:val="0"/>
                <w:color w:val="2C2C2C"/>
                <w:sz w:val="22"/>
              </w:rPr>
              <w:t>If useful, we can walk the Azure workflow in 20 minutes and map it to your SQL Accounting company and Copilot tenant.</w:t>
            </w:r>
          </w:p>
        </w:tc>
      </w:tr>
    </w:tbl>
    <w:p>
      <w:pPr>
        <w:spacing w:after="0"/>
      </w:pPr>
    </w:p>
    <w:sectPr w:rsidR="00FC693F" w:rsidRPr="0006063C" w:rsidSect="00034616">
      <w:pgSz w:w="11906" w:h="16838"/>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